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6FA" w:rsidRDefault="00B756FA" w:rsidP="00EF37C8">
      <w:pPr>
        <w:pStyle w:val="NoParagraphStyle"/>
        <w:keepLines/>
        <w:tabs>
          <w:tab w:val="left" w:pos="0"/>
          <w:tab w:val="left" w:pos="6652"/>
          <w:tab w:val="left" w:pos="6684"/>
        </w:tabs>
        <w:suppressAutoHyphens/>
        <w:jc w:val="center"/>
        <w:rPr>
          <w:rFonts w:ascii="Demos Next Pro" w:hAnsi="Demos Next Pro" w:cs="Demos Next Pro"/>
          <w:b/>
          <w:bCs/>
          <w:caps/>
          <w:sz w:val="20"/>
          <w:szCs w:val="20"/>
        </w:rPr>
      </w:pPr>
      <w:r>
        <w:rPr>
          <w:rFonts w:ascii="Demos Next Pro" w:hAnsi="Demos Next Pro" w:cs="Demos Next Pro"/>
          <w:b/>
          <w:bCs/>
          <w:caps/>
          <w:sz w:val="20"/>
          <w:szCs w:val="20"/>
        </w:rPr>
        <w:t>Title 20—DEPARTMENT OF commerce and insurance</w:t>
      </w:r>
    </w:p>
    <w:p w:rsidR="00B756FA" w:rsidRDefault="00B756FA" w:rsidP="00EF37C8">
      <w:pPr>
        <w:pStyle w:val="NoParagraphStyle"/>
        <w:keepLines/>
        <w:tabs>
          <w:tab w:val="left" w:pos="0"/>
          <w:tab w:val="left" w:pos="6652"/>
          <w:tab w:val="left" w:pos="6684"/>
        </w:tabs>
        <w:suppressAutoHyphens/>
        <w:jc w:val="center"/>
        <w:rPr>
          <w:rFonts w:ascii="Demos Next Pro" w:hAnsi="Demos Next Pro" w:cs="Demos Next Pro"/>
          <w:b/>
          <w:bCs/>
          <w:sz w:val="20"/>
          <w:szCs w:val="20"/>
        </w:rPr>
      </w:pPr>
      <w:r>
        <w:rPr>
          <w:rFonts w:ascii="Demos Next Pro" w:hAnsi="Demos Next Pro" w:cs="Demos Next Pro"/>
          <w:b/>
          <w:bCs/>
          <w:sz w:val="20"/>
          <w:szCs w:val="20"/>
        </w:rPr>
        <w:t>Division 4240—Public Service Commission</w:t>
      </w:r>
    </w:p>
    <w:p w:rsidR="00B756FA" w:rsidRDefault="00B756FA" w:rsidP="00EF37C8">
      <w:pPr>
        <w:pStyle w:val="NoParagraphStyle"/>
        <w:keepLines/>
        <w:tabs>
          <w:tab w:val="left" w:pos="0"/>
          <w:tab w:val="left" w:pos="6652"/>
          <w:tab w:val="left" w:pos="6684"/>
        </w:tabs>
        <w:suppressAutoHyphens/>
        <w:jc w:val="center"/>
        <w:rPr>
          <w:rFonts w:ascii="Demos Next Pro" w:hAnsi="Demos Next Pro" w:cs="Demos Next Pro"/>
          <w:b/>
          <w:bCs/>
          <w:sz w:val="20"/>
          <w:szCs w:val="20"/>
        </w:rPr>
      </w:pPr>
      <w:r>
        <w:rPr>
          <w:rFonts w:ascii="Demos Next Pro" w:hAnsi="Demos Next Pro" w:cs="Demos Next Pro"/>
          <w:b/>
          <w:bCs/>
          <w:sz w:val="20"/>
          <w:szCs w:val="20"/>
        </w:rPr>
        <w:t>Chapter 80—Steam Heating Utilities</w:t>
      </w:r>
    </w:p>
    <w:p w:rsidR="00B756FA" w:rsidRDefault="00B756FA" w:rsidP="00EF37C8">
      <w:pPr>
        <w:pStyle w:val="text"/>
        <w:tabs>
          <w:tab w:val="left" w:pos="180"/>
          <w:tab w:val="left" w:pos="360"/>
          <w:tab w:val="left" w:pos="540"/>
          <w:tab w:val="left" w:pos="720"/>
          <w:tab w:val="left" w:pos="900"/>
          <w:tab w:val="left" w:pos="1080"/>
          <w:tab w:val="left" w:pos="1260"/>
          <w:tab w:val="left" w:pos="1440"/>
          <w:tab w:val="left" w:pos="1620"/>
        </w:tabs>
        <w:rPr>
          <w:rFonts w:ascii="Demos Next Pro" w:hAnsi="Demos Next Pro" w:cs="Demos Next Pro"/>
          <w:b/>
          <w:bCs/>
        </w:rPr>
      </w:pPr>
      <w:r>
        <w:rPr>
          <w:rFonts w:ascii="Demos Next Pro" w:hAnsi="Demos Next Pro" w:cs="Demos Next Pro"/>
          <w:b/>
          <w:bCs/>
        </w:rPr>
        <w:t>20 CSR 4240-80.015 Affiliate Transactions</w:t>
      </w:r>
    </w:p>
    <w:p w:rsidR="00B756FA" w:rsidRDefault="00B756FA" w:rsidP="00EF37C8">
      <w:pPr>
        <w:pStyle w:val="text"/>
        <w:tabs>
          <w:tab w:val="left" w:pos="180"/>
          <w:tab w:val="left" w:pos="360"/>
          <w:tab w:val="left" w:pos="540"/>
          <w:tab w:val="left" w:pos="720"/>
          <w:tab w:val="left" w:pos="900"/>
          <w:tab w:val="left" w:pos="1080"/>
          <w:tab w:val="left" w:pos="1260"/>
          <w:tab w:val="left" w:pos="1440"/>
          <w:tab w:val="left" w:pos="1620"/>
        </w:tabs>
        <w:spacing w:before="0"/>
        <w:rPr>
          <w:rFonts w:ascii="Demos Next Pro" w:hAnsi="Demos Next Pro" w:cs="Demos Next Pro"/>
        </w:rPr>
      </w:pPr>
      <w:r>
        <w:rPr>
          <w:rFonts w:ascii="Demos Next Pro" w:hAnsi="Demos Next Pro" w:cs="Demos Next Pro"/>
        </w:rPr>
        <w:t>(Rescinded May 30, 2025)</w:t>
      </w:r>
    </w:p>
    <w:p w:rsidR="00B756FA" w:rsidRDefault="00B756FA" w:rsidP="00EF37C8">
      <w:pPr>
        <w:pStyle w:val="text"/>
        <w:tabs>
          <w:tab w:val="left" w:pos="180"/>
          <w:tab w:val="left" w:pos="360"/>
          <w:tab w:val="left" w:pos="540"/>
          <w:tab w:val="left" w:pos="720"/>
          <w:tab w:val="left" w:pos="900"/>
          <w:tab w:val="left" w:pos="1080"/>
          <w:tab w:val="left" w:pos="1260"/>
          <w:tab w:val="left" w:pos="1440"/>
          <w:tab w:val="left" w:pos="1620"/>
        </w:tabs>
        <w:rPr>
          <w:rFonts w:ascii="Demos Next Pro" w:hAnsi="Demos Next Pro" w:cs="Demos Next Pro"/>
          <w:i/>
          <w:iCs/>
        </w:rPr>
      </w:pPr>
      <w:r>
        <w:rPr>
          <w:rFonts w:ascii="Demos Next Pro" w:hAnsi="Demos Next Pro" w:cs="Demos Next Pro"/>
          <w:i/>
          <w:iCs/>
        </w:rPr>
        <w:t xml:space="preserve">AUTHORITY: section 386.250, </w:t>
      </w:r>
      <w:proofErr w:type="spellStart"/>
      <w:r>
        <w:rPr>
          <w:rFonts w:ascii="Demos Next Pro" w:hAnsi="Demos Next Pro" w:cs="Demos Next Pro"/>
          <w:i/>
          <w:iCs/>
        </w:rPr>
        <w:t>RSMo</w:t>
      </w:r>
      <w:proofErr w:type="spellEnd"/>
      <w:r>
        <w:rPr>
          <w:rFonts w:ascii="Demos Next Pro" w:hAnsi="Demos Next Pro" w:cs="Demos Next Pro"/>
          <w:i/>
          <w:iCs/>
        </w:rPr>
        <w:t xml:space="preserve"> Supp. 1998, and section 393.140, </w:t>
      </w:r>
      <w:proofErr w:type="spellStart"/>
      <w:r>
        <w:rPr>
          <w:rFonts w:ascii="Demos Next Pro" w:hAnsi="Demos Next Pro" w:cs="Demos Next Pro"/>
          <w:i/>
          <w:iCs/>
        </w:rPr>
        <w:t>RSMo</w:t>
      </w:r>
      <w:proofErr w:type="spellEnd"/>
      <w:r>
        <w:rPr>
          <w:rFonts w:ascii="Demos Next Pro" w:hAnsi="Demos Next Pro" w:cs="Demos Next Pro"/>
          <w:i/>
          <w:iCs/>
        </w:rPr>
        <w:t xml:space="preserve"> 1994. This rule originally filed as 4 CSR 240-80.015. Original rule filed April 26, 1999, effective Feb. 29, 2000. Moved to 20 CSR 4240-80.015, effective Aug. 28, 2019. Rescinded: Filed Sept. 25, 2024, effective May 30, 2025.</w:t>
      </w:r>
    </w:p>
    <w:p w:rsidR="00B756FA" w:rsidRDefault="00B756FA"/>
    <w:p w:rsidR="00B756FA" w:rsidRDefault="00B756FA" w:rsidP="002E1375">
      <w:pPr>
        <w:pStyle w:val="text"/>
        <w:spacing w:before="0"/>
        <w:rPr>
          <w:rFonts w:ascii="Demos Next Pro" w:hAnsi="Demos Next Pro" w:cs="Demos Next Pro"/>
          <w:b/>
          <w:bCs/>
        </w:rPr>
      </w:pPr>
      <w:r>
        <w:rPr>
          <w:rFonts w:ascii="Demos Next Pro" w:hAnsi="Demos Next Pro" w:cs="Demos Next Pro"/>
          <w:b/>
          <w:bCs/>
        </w:rPr>
        <w:t xml:space="preserve">20 CSR 4240-80.017 HVAC Services Affiliate Transactions </w:t>
      </w:r>
    </w:p>
    <w:p w:rsidR="00B756FA" w:rsidRDefault="00B756FA" w:rsidP="002E1375">
      <w:pPr>
        <w:pStyle w:val="text"/>
        <w:tabs>
          <w:tab w:val="left" w:pos="180"/>
          <w:tab w:val="left" w:pos="360"/>
          <w:tab w:val="left" w:pos="540"/>
          <w:tab w:val="left" w:pos="720"/>
          <w:tab w:val="left" w:pos="900"/>
          <w:tab w:val="left" w:pos="1080"/>
          <w:tab w:val="left" w:pos="1260"/>
          <w:tab w:val="left" w:pos="1440"/>
          <w:tab w:val="left" w:pos="1620"/>
        </w:tabs>
        <w:spacing w:before="0"/>
        <w:rPr>
          <w:rFonts w:ascii="Demos Next Pro" w:hAnsi="Demos Next Pro" w:cs="Demos Next Pro"/>
        </w:rPr>
      </w:pPr>
      <w:r>
        <w:rPr>
          <w:rFonts w:ascii="Demos Next Pro" w:hAnsi="Demos Next Pro" w:cs="Demos Next Pro"/>
        </w:rPr>
        <w:t>(Rescinded May 30, 2025)</w:t>
      </w:r>
    </w:p>
    <w:p w:rsidR="00B756FA" w:rsidRDefault="00B756FA" w:rsidP="002E1375">
      <w:pPr>
        <w:pStyle w:val="text"/>
        <w:rPr>
          <w:rFonts w:ascii="Demos Next Pro" w:hAnsi="Demos Next Pro" w:cs="Demos Next Pro"/>
          <w:i/>
          <w:iCs/>
        </w:rPr>
      </w:pPr>
      <w:r>
        <w:rPr>
          <w:rFonts w:ascii="Demos Next Pro" w:hAnsi="Demos Next Pro" w:cs="Demos Next Pro"/>
          <w:i/>
          <w:iCs/>
        </w:rPr>
        <w:t xml:space="preserve">AUTHORITY: section 386.760.1, </w:t>
      </w:r>
      <w:proofErr w:type="spellStart"/>
      <w:r>
        <w:rPr>
          <w:rFonts w:ascii="Demos Next Pro" w:hAnsi="Demos Next Pro" w:cs="Demos Next Pro"/>
          <w:i/>
          <w:iCs/>
        </w:rPr>
        <w:t>RSMo</w:t>
      </w:r>
      <w:proofErr w:type="spellEnd"/>
      <w:r>
        <w:rPr>
          <w:rFonts w:ascii="Demos Next Pro" w:hAnsi="Demos Next Pro" w:cs="Demos Next Pro"/>
          <w:i/>
          <w:iCs/>
        </w:rPr>
        <w:t xml:space="preserve"> Supp. 1998, and section 393.140, </w:t>
      </w:r>
      <w:proofErr w:type="spellStart"/>
      <w:r>
        <w:rPr>
          <w:rFonts w:ascii="Demos Next Pro" w:hAnsi="Demos Next Pro" w:cs="Demos Next Pro"/>
          <w:i/>
          <w:iCs/>
        </w:rPr>
        <w:t>RSMo</w:t>
      </w:r>
      <w:proofErr w:type="spellEnd"/>
      <w:r>
        <w:rPr>
          <w:rFonts w:ascii="Demos Next Pro" w:hAnsi="Demos Next Pro" w:cs="Demos Next Pro"/>
          <w:i/>
          <w:iCs/>
        </w:rPr>
        <w:t xml:space="preserve"> 1994. This rule originally filed as 4 CSR 240-80.017. Original rule filed Dec. 17, 1998, effective Aug. 30, 1999. Moved to 20 CSR 4240-80.017, effective Aug. 28, 2019. Rescinded: Filed Sept. 25, 2024, effective May 30, 2025.</w:t>
      </w:r>
    </w:p>
    <w:p w:rsidR="00B756FA" w:rsidRDefault="00B756FA"/>
    <w:p w:rsidR="00F65607" w:rsidRDefault="00F65607">
      <w:pPr>
        <w:pStyle w:val="head"/>
        <w:keepLines/>
        <w:jc w:val="both"/>
        <w:rPr>
          <w:sz w:val="18"/>
        </w:rPr>
      </w:pPr>
      <w:bookmarkStart w:id="0" w:name="_GoBack"/>
      <w:bookmarkEnd w:id="0"/>
    </w:p>
    <w:p w:rsidR="00F65607" w:rsidRPr="00B756FA" w:rsidRDefault="00B756FA">
      <w:pPr>
        <w:pStyle w:val="head"/>
        <w:keepLines/>
        <w:jc w:val="both"/>
        <w:rPr>
          <w:rFonts w:ascii="Demos Next Pro" w:hAnsi="Demos Next Pro"/>
          <w:sz w:val="18"/>
        </w:rPr>
      </w:pPr>
      <w:r w:rsidRPr="00B756FA">
        <w:rPr>
          <w:rFonts w:ascii="Demos Next Pro" w:hAnsi="Demos Next Pro"/>
          <w:sz w:val="18"/>
        </w:rPr>
        <w:t>20 CSR 4240-80.020 Uniform System of Accounts—Heating Companies</w:t>
      </w:r>
    </w:p>
    <w:p w:rsidR="00F65607" w:rsidRPr="00B756FA" w:rsidRDefault="00B756FA">
      <w:pPr>
        <w:pStyle w:val="purpose"/>
        <w:keepLines w:val="0"/>
        <w:spacing w:before="200"/>
        <w:rPr>
          <w:rFonts w:ascii="Demos Next Pro" w:hAnsi="Demos Next Pro"/>
        </w:rPr>
      </w:pPr>
      <w:r w:rsidRPr="00B756FA">
        <w:rPr>
          <w:rFonts w:ascii="Demos Next Pro" w:hAnsi="Demos Next Pro"/>
        </w:rPr>
        <w:t>PURPOSE: This rule prescribes a uniform system of accounts for all steam heating companies regulated by the Public Service C</w:t>
      </w:r>
      <w:r w:rsidRPr="00B756FA">
        <w:rPr>
          <w:rFonts w:ascii="Demos Next Pro" w:hAnsi="Demos Next Pro"/>
        </w:rPr>
        <w:t>ommission. Additional requirements regarding this subject matter and the filing annual reports are found at 4 CSR 240-3.435.</w:t>
      </w:r>
    </w:p>
    <w:p w:rsidR="00F65607" w:rsidRPr="00B756FA" w:rsidRDefault="00B756FA">
      <w:pPr>
        <w:pStyle w:val="text"/>
        <w:spacing w:before="200"/>
        <w:rPr>
          <w:rFonts w:ascii="Demos Next Pro" w:hAnsi="Demos Next Pro"/>
        </w:rPr>
      </w:pPr>
      <w:r w:rsidRPr="00B756FA">
        <w:rPr>
          <w:rFonts w:ascii="Demos Next Pro" w:hAnsi="Demos Next Pro"/>
        </w:rPr>
        <w:t>(1) The uniform system of accounts for steam heating companies with the text pertaining thereto, embodied in printed form, prescrib</w:t>
      </w:r>
      <w:r w:rsidRPr="00B756FA">
        <w:rPr>
          <w:rFonts w:ascii="Demos Next Pro" w:hAnsi="Demos Next Pro"/>
        </w:rPr>
        <w:t xml:space="preserve">ed for the use of heating companies engaged in manufacturing and distributing and selling, for distribution or distributing hot or cold water, steam or currents of hot or cold air for motive power, heating, cooking or for any public use or service, in any </w:t>
      </w:r>
      <w:r w:rsidRPr="00B756FA">
        <w:rPr>
          <w:rFonts w:ascii="Demos Next Pro" w:hAnsi="Demos Next Pro"/>
        </w:rPr>
        <w:t>city, town or village in the state of Missouri and every heating company within the state not engaged in operation. Each heating company shall be required to keep all accounts in conformity therewith.</w:t>
      </w:r>
    </w:p>
    <w:p w:rsidR="00F65607" w:rsidRPr="00B756FA" w:rsidRDefault="00B756FA">
      <w:pPr>
        <w:pStyle w:val="text"/>
        <w:spacing w:before="200"/>
        <w:rPr>
          <w:rFonts w:ascii="Demos Next Pro" w:hAnsi="Demos Next Pro"/>
        </w:rPr>
      </w:pPr>
      <w:r w:rsidRPr="00B756FA">
        <w:rPr>
          <w:rFonts w:ascii="Demos Next Pro" w:hAnsi="Demos Next Pro"/>
        </w:rPr>
        <w:t>(2) The uniform system of accounts for heating companie</w:t>
      </w:r>
      <w:r w:rsidRPr="00B756FA">
        <w:rPr>
          <w:rFonts w:ascii="Demos Next Pro" w:hAnsi="Demos Next Pro"/>
        </w:rPr>
        <w:t>s is arranged so that it contains only the necessary accounts which those utilities must keep. It consists of—balance sheet accounts; fixed asset accounts; operating revenue accounts; operating expense accounts; and instructions pertaining to deductions fr</w:t>
      </w:r>
      <w:r w:rsidRPr="00B756FA">
        <w:rPr>
          <w:rFonts w:ascii="Demos Next Pro" w:hAnsi="Demos Next Pro"/>
        </w:rPr>
        <w:t>om gross income.</w:t>
      </w:r>
    </w:p>
    <w:p w:rsidR="00F65607" w:rsidRPr="00B756FA" w:rsidRDefault="00B756FA">
      <w:pPr>
        <w:pStyle w:val="text"/>
        <w:spacing w:before="200"/>
        <w:rPr>
          <w:rFonts w:ascii="Demos Next Pro" w:hAnsi="Demos Next Pro"/>
        </w:rPr>
      </w:pPr>
      <w:r w:rsidRPr="00B756FA">
        <w:rPr>
          <w:rFonts w:ascii="Demos Next Pro" w:hAnsi="Demos Next Pro"/>
        </w:rPr>
        <w:t>(3) The uniform system of accounts for heating companies shall become effective on January l, 1915.</w:t>
      </w:r>
    </w:p>
    <w:p w:rsidR="00F65607" w:rsidRPr="00B756FA" w:rsidRDefault="00B756FA">
      <w:pPr>
        <w:pStyle w:val="text"/>
        <w:spacing w:before="200"/>
        <w:rPr>
          <w:rFonts w:ascii="Demos Next Pro" w:hAnsi="Demos Next Pro"/>
        </w:rPr>
      </w:pPr>
      <w:r w:rsidRPr="00B756FA">
        <w:rPr>
          <w:rFonts w:ascii="Demos Next Pro" w:hAnsi="Demos Next Pro"/>
        </w:rPr>
        <w:t>(4) Each heating company shall have and keep an office in this state, in which all accounts, records, memoranda, books and papers carried i</w:t>
      </w:r>
      <w:r w:rsidRPr="00B756FA">
        <w:rPr>
          <w:rFonts w:ascii="Demos Next Pro" w:hAnsi="Demos Next Pro"/>
        </w:rPr>
        <w:t>n pursuance of any requirements of law shall be kept. No such accounts, records, memoranda, books or papers shall at any time be removed from this state, except upon such conditions as may be prescribed by the commission.</w:t>
      </w:r>
    </w:p>
    <w:p w:rsidR="00F65607" w:rsidRPr="00B756FA" w:rsidRDefault="00B756FA">
      <w:pPr>
        <w:pStyle w:val="purpose"/>
        <w:spacing w:before="200"/>
        <w:rPr>
          <w:rFonts w:ascii="Demos Next Pro" w:hAnsi="Demos Next Pro"/>
        </w:rPr>
      </w:pPr>
      <w:r w:rsidRPr="00B756FA">
        <w:rPr>
          <w:rFonts w:ascii="Demos Next Pro" w:hAnsi="Demos Next Pro"/>
        </w:rPr>
        <w:t>AUTHORITY: sections 386.250, 393.1</w:t>
      </w:r>
      <w:r w:rsidRPr="00B756FA">
        <w:rPr>
          <w:rFonts w:ascii="Demos Next Pro" w:hAnsi="Demos Next Pro"/>
        </w:rPr>
        <w:t xml:space="preserve">40 and 393.290, </w:t>
      </w:r>
      <w:proofErr w:type="spellStart"/>
      <w:r w:rsidRPr="00B756FA">
        <w:rPr>
          <w:rFonts w:ascii="Demos Next Pro" w:hAnsi="Demos Next Pro"/>
        </w:rPr>
        <w:t>RSMo</w:t>
      </w:r>
      <w:proofErr w:type="spellEnd"/>
      <w:r w:rsidRPr="00B756FA">
        <w:rPr>
          <w:rFonts w:ascii="Demos Next Pro" w:hAnsi="Demos Next Pro"/>
        </w:rPr>
        <w:t xml:space="preserve"> </w:t>
      </w:r>
      <w:proofErr w:type="gramStart"/>
      <w:r w:rsidRPr="00B756FA">
        <w:rPr>
          <w:rFonts w:ascii="Demos Next Pro" w:hAnsi="Demos Next Pro"/>
        </w:rPr>
        <w:t>2000.*</w:t>
      </w:r>
      <w:proofErr w:type="gramEnd"/>
      <w:r w:rsidRPr="00B756FA">
        <w:rPr>
          <w:rFonts w:ascii="Demos Next Pro" w:hAnsi="Demos Next Pro"/>
          <w:i w:val="0"/>
        </w:rPr>
        <w:t xml:space="preserve"> </w:t>
      </w:r>
      <w:r w:rsidRPr="00B756FA">
        <w:rPr>
          <w:rFonts w:ascii="Demos Next Pro" w:hAnsi="Demos Next Pro"/>
        </w:rPr>
        <w:t>This rule originally filed as 4 CSR 240-80.020. Original rule filed Dec. 19, 1975, effective Dec. 29, 1975. Amended: Filed April 26, 1976, effective Sept. 11, 1976. Amended: Filed Aug. 16, 2002, effective April 30, 2003. Moved t</w:t>
      </w:r>
      <w:r w:rsidRPr="00B756FA">
        <w:rPr>
          <w:rFonts w:ascii="Demos Next Pro" w:hAnsi="Demos Next Pro"/>
        </w:rPr>
        <w:t>o 20 CSR 4240-80.020, effective Aug. 28, 2019.</w:t>
      </w:r>
    </w:p>
    <w:p w:rsidR="00F65607" w:rsidRPr="00B756FA" w:rsidRDefault="00B756FA">
      <w:pPr>
        <w:pStyle w:val="oa"/>
        <w:spacing w:before="200"/>
        <w:rPr>
          <w:rFonts w:ascii="Demos Next Pro" w:hAnsi="Demos Next Pro"/>
        </w:rPr>
      </w:pPr>
      <w:r w:rsidRPr="00B756FA">
        <w:rPr>
          <w:rFonts w:ascii="Demos Next Pro" w:hAnsi="Demos Next Pro"/>
        </w:rPr>
        <w:t xml:space="preserve">*Original authority: 386.250, </w:t>
      </w:r>
      <w:proofErr w:type="spellStart"/>
      <w:r w:rsidRPr="00B756FA">
        <w:rPr>
          <w:rFonts w:ascii="Demos Next Pro" w:hAnsi="Demos Next Pro"/>
        </w:rPr>
        <w:t>RSMo</w:t>
      </w:r>
      <w:proofErr w:type="spellEnd"/>
      <w:r w:rsidRPr="00B756FA">
        <w:rPr>
          <w:rFonts w:ascii="Demos Next Pro" w:hAnsi="Demos Next Pro"/>
        </w:rPr>
        <w:t xml:space="preserve"> 1939, amended 1963, 1967, 1977, 1980, 1987, 1988, 1991, 1993, 1996; 393.140, </w:t>
      </w:r>
      <w:proofErr w:type="spellStart"/>
      <w:r w:rsidRPr="00B756FA">
        <w:rPr>
          <w:rFonts w:ascii="Demos Next Pro" w:hAnsi="Demos Next Pro"/>
        </w:rPr>
        <w:t>RSMo</w:t>
      </w:r>
      <w:proofErr w:type="spellEnd"/>
      <w:r w:rsidRPr="00B756FA">
        <w:rPr>
          <w:rFonts w:ascii="Demos Next Pro" w:hAnsi="Demos Next Pro"/>
        </w:rPr>
        <w:t xml:space="preserve"> 1939, amended 1967 and 393.290, </w:t>
      </w:r>
      <w:proofErr w:type="spellStart"/>
      <w:r w:rsidRPr="00B756FA">
        <w:rPr>
          <w:rFonts w:ascii="Demos Next Pro" w:hAnsi="Demos Next Pro"/>
        </w:rPr>
        <w:t>RSMo</w:t>
      </w:r>
      <w:proofErr w:type="spellEnd"/>
      <w:r w:rsidRPr="00B756FA">
        <w:rPr>
          <w:rFonts w:ascii="Demos Next Pro" w:hAnsi="Demos Next Pro"/>
        </w:rPr>
        <w:t xml:space="preserve"> 1939, amended 1967.</w:t>
      </w:r>
    </w:p>
    <w:sectPr w:rsidR="00F65607" w:rsidRPr="00B75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panose1 w:val="02020603050405020304"/>
    <w:charset w:val="EE"/>
    <w:family w:val="roman"/>
    <w:pitch w:val="variable"/>
    <w:sig w:usb0="00000207" w:usb1="00000000" w:usb2="00000000" w:usb3="00000000" w:csb0="00000097"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mos Next Pro">
    <w:panose1 w:val="020F0504060205020204"/>
    <w:charset w:val="00"/>
    <w:family w:val="swiss"/>
    <w:notTrueType/>
    <w:pitch w:val="variable"/>
    <w:sig w:usb0="A000002F" w:usb1="00000001"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5607"/>
    <w:rsid w:val="00B756FA"/>
    <w:rsid w:val="00F65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FA6AB-E284-4137-96A5-56199185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link w:val="Norm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
    <w:name w:val="auth"/>
    <w:next w:val="oa"/>
    <w:qFormat/>
    <w:pPr>
      <w:keepLines/>
      <w:spacing w:before="181" w:after="181"/>
      <w:jc w:val="both"/>
    </w:pPr>
    <w:rPr>
      <w:rFonts w:ascii="CG Times" w:eastAsia="CG Times" w:hAnsi="CG Times" w:cs="CG Times"/>
      <w:i/>
      <w:sz w:val="18"/>
    </w:rPr>
  </w:style>
  <w:style w:type="paragraph" w:customStyle="1" w:styleId="text">
    <w:name w:val="text"/>
    <w:uiPriority w:val="99"/>
    <w:qFormat/>
    <w:pPr>
      <w:keepLines/>
      <w:spacing w:before="181"/>
      <w:jc w:val="both"/>
    </w:pPr>
    <w:rPr>
      <w:rFonts w:ascii="CG Times" w:eastAsia="CG Times" w:hAnsi="CG Times" w:cs="CG Times"/>
      <w:sz w:val="18"/>
    </w:rPr>
  </w:style>
  <w:style w:type="paragraph" w:customStyle="1" w:styleId="purpose">
    <w:name w:val="purpose"/>
    <w:next w:val="text"/>
    <w:qFormat/>
    <w:pPr>
      <w:keepLines/>
      <w:spacing w:before="181"/>
      <w:jc w:val="both"/>
    </w:pPr>
    <w:rPr>
      <w:rFonts w:ascii="CG Times" w:eastAsia="CG Times" w:hAnsi="CG Times" w:cs="CG Times"/>
      <w:i/>
      <w:sz w:val="18"/>
    </w:rPr>
  </w:style>
  <w:style w:type="paragraph" w:customStyle="1" w:styleId="head">
    <w:name w:val="head"/>
    <w:qFormat/>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pPr>
    <w:rPr>
      <w:rFonts w:ascii="CG Times" w:eastAsia="CG Times" w:hAnsi="CG Times" w:cs="CG Times"/>
      <w:b/>
    </w:rPr>
  </w:style>
  <w:style w:type="paragraph" w:customStyle="1" w:styleId="m">
    <w:name w:val="m"/>
    <w:next w:val="mm"/>
    <w:qFormat/>
    <w:pPr>
      <w:keepLines/>
      <w:ind w:firstLine="181"/>
      <w:jc w:val="both"/>
    </w:pPr>
    <w:rPr>
      <w:rFonts w:ascii="CG Times" w:eastAsia="CG Times" w:hAnsi="CG Times" w:cs="CG Times"/>
      <w:sz w:val="18"/>
    </w:rPr>
  </w:style>
  <w:style w:type="paragraph" w:customStyle="1" w:styleId="mm">
    <w:name w:val="mm"/>
    <w:qFormat/>
    <w:pPr>
      <w:keepLines/>
      <w:ind w:firstLine="362"/>
      <w:jc w:val="both"/>
    </w:pPr>
    <w:rPr>
      <w:rFonts w:ascii="CG Times" w:eastAsia="CG Times" w:hAnsi="CG Times" w:cs="CG Times"/>
      <w:sz w:val="18"/>
    </w:rPr>
  </w:style>
  <w:style w:type="paragraph" w:customStyle="1" w:styleId="oa">
    <w:name w:val="oa"/>
    <w:qFormat/>
    <w:pPr>
      <w:keepLines/>
      <w:jc w:val="both"/>
    </w:pPr>
    <w:rPr>
      <w:rFonts w:ascii="CG Times" w:eastAsia="CG Times" w:hAnsi="CG Times" w:cs="CG Times"/>
      <w:i/>
      <w:sz w:val="14"/>
    </w:rPr>
  </w:style>
  <w:style w:type="paragraph" w:customStyle="1" w:styleId="section">
    <w:name w:val="section"/>
    <w:qFormat/>
    <w:rPr>
      <w:rFonts w:ascii="CG Times" w:eastAsia="CG Times" w:hAnsi="CG Times" w:cs="CG Times"/>
      <w:sz w:val="18"/>
    </w:rPr>
  </w:style>
  <w:style w:type="paragraph" w:customStyle="1" w:styleId="subsection">
    <w:name w:val="subsection"/>
    <w:next w:val="section"/>
    <w:qFormat/>
    <w:pPr>
      <w:ind w:firstLine="181"/>
      <w:jc w:val="both"/>
    </w:pPr>
    <w:rPr>
      <w:rFonts w:ascii="CG Times" w:eastAsia="CG Times" w:hAnsi="CG Times" w:cs="CG Times"/>
      <w:sz w:val="18"/>
    </w:rPr>
  </w:style>
  <w:style w:type="paragraph" w:customStyle="1" w:styleId="paragraph1">
    <w:name w:val="paragraph1."/>
    <w:next w:val="section"/>
    <w:qFormat/>
    <w:pPr>
      <w:ind w:firstLine="362"/>
    </w:pPr>
    <w:rPr>
      <w:rFonts w:ascii="CG Times" w:eastAsia="CG Times" w:hAnsi="CG Times" w:cs="CG Times"/>
      <w:sz w:val="18"/>
    </w:rPr>
  </w:style>
  <w:style w:type="character" w:customStyle="1" w:styleId="Normal1">
    <w:name w:val="Normal1"/>
    <w:rPr>
      <w:rFonts w:ascii="Arial" w:eastAsia="Arial" w:hAnsi="Arial" w:cs="Arial"/>
      <w:sz w:val="24"/>
    </w:rPr>
  </w:style>
  <w:style w:type="paragraph" w:customStyle="1" w:styleId="NoParagraphStyle">
    <w:name w:val="[No Paragraph Style]"/>
    <w:rsid w:val="00B756FA"/>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Jacqueline</cp:lastModifiedBy>
  <cp:revision>2</cp:revision>
  <dcterms:created xsi:type="dcterms:W3CDTF">2025-03-26T18:43:00Z</dcterms:created>
  <dcterms:modified xsi:type="dcterms:W3CDTF">2025-03-26T18:44:00Z</dcterms:modified>
</cp:coreProperties>
</file>